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455A7" w:rsidR="005C4546" w:rsidP="533BD78E" w:rsidRDefault="6BDC1938" w14:paraId="3E986B70" w14:textId="0D932ADB">
      <w:pPr>
        <w:rPr>
          <w:rFonts w:ascii="Calibri" w:hAnsi="Calibri" w:eastAsia="Calibri" w:cs="Calibri"/>
          <w:b/>
          <w:bCs/>
          <w:color w:val="000000" w:themeColor="text1"/>
          <w:sz w:val="40"/>
          <w:szCs w:val="40"/>
          <w:lang w:val="fr-FR"/>
        </w:rPr>
      </w:pPr>
      <w:r w:rsidRPr="007455A7">
        <w:rPr>
          <w:rFonts w:ascii="Calibri" w:hAnsi="Calibri" w:eastAsia="Calibri" w:cs="Calibri"/>
          <w:b/>
          <w:bCs/>
          <w:color w:val="000000" w:themeColor="text1"/>
          <w:sz w:val="36"/>
          <w:szCs w:val="36"/>
          <w:lang w:val="fr-FR"/>
        </w:rPr>
        <w:t>Encuesta para clientes</w:t>
      </w:r>
    </w:p>
    <w:p w:rsidRPr="007455A7" w:rsidR="005C4546" w:rsidP="7A2B0C57" w:rsidRDefault="6BDC1938" w14:paraId="2C078E63" w14:textId="66B61F14">
      <w:pPr>
        <w:rPr>
          <w:rFonts w:ascii="Calibri" w:hAnsi="Calibri" w:eastAsia="Calibri" w:cs="Calibri"/>
          <w:b w:val="1"/>
          <w:bCs w:val="1"/>
          <w:color w:val="000000" w:themeColor="text1"/>
          <w:sz w:val="28"/>
          <w:szCs w:val="28"/>
          <w:lang w:val="es-ES"/>
        </w:rPr>
      </w:pPr>
      <w:r w:rsidRPr="7A2B0C57" w:rsidR="6BDC193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>Sesión</w:t>
      </w:r>
      <w:r w:rsidRPr="7A2B0C57" w:rsidR="6BDC193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 xml:space="preserve"> </w:t>
      </w:r>
      <w:r w:rsidRPr="7A2B0C57" w:rsidR="66A39FA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>demostrativa</w:t>
      </w:r>
      <w:r w:rsidRPr="7A2B0C57" w:rsidR="6BDC193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 xml:space="preserve"> para </w:t>
      </w:r>
      <w:r w:rsidRPr="7A2B0C57" w:rsidR="6BDC193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>pymes</w:t>
      </w:r>
      <w:r w:rsidRPr="7A2B0C57" w:rsidR="6BDC193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 xml:space="preserve"> </w:t>
      </w:r>
      <w:r w:rsidRPr="7A2B0C57" w:rsidR="6BDC193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>Prepárese</w:t>
      </w:r>
      <w:r w:rsidRPr="7A2B0C57" w:rsidR="6BDC193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 xml:space="preserve"> para </w:t>
      </w:r>
      <w:r w:rsidRPr="7A2B0C57" w:rsidR="6BDC193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s-ES"/>
        </w:rPr>
        <w:t>Copilot</w:t>
      </w:r>
    </w:p>
    <w:tbl>
      <w:tblPr>
        <w:tblStyle w:val="PlainTable1"/>
        <w:tblW w:w="0" w:type="auto"/>
        <w:tblLayout w:type="fixed"/>
        <w:tblLook w:val="0400" w:firstRow="0" w:lastRow="0" w:firstColumn="0" w:lastColumn="0" w:noHBand="0" w:noVBand="1"/>
      </w:tblPr>
      <w:tblGrid>
        <w:gridCol w:w="2160"/>
        <w:gridCol w:w="7200"/>
      </w:tblGrid>
      <w:tr w:rsidR="533BD78E" w:rsidTr="233A612B" w14:paraId="7B5008B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60" w:type="dxa"/>
          </w:tcPr>
          <w:p w:rsidR="533BD78E" w:rsidP="185E352E" w:rsidRDefault="17D61443" w14:paraId="11378122" w14:textId="52146EBF">
            <w:pPr>
              <w:spacing w:line="259" w:lineRule="auto"/>
            </w:pPr>
            <w:r>
              <w:rPr>
                <w:rFonts w:ascii="Calibri" w:hAnsi="Calibri" w:eastAsia="Calibri" w:cs="Calibri"/>
                <w:color w:val="000000" w:themeColor="text1"/>
              </w:rPr>
              <w:t>(automatizado)</w:t>
            </w:r>
          </w:p>
        </w:tc>
        <w:tc>
          <w:tcPr>
            <w:tcW w:w="7200" w:type="dxa"/>
          </w:tcPr>
          <w:p w:rsidR="533BD78E" w:rsidRDefault="533BD78E" w14:paraId="3B3EEE7D" w14:textId="3588E6F0">
            <w:r>
              <w:rPr>
                <w:rFonts w:ascii="Calibri" w:hAnsi="Calibri" w:eastAsia="Calibri" w:cs="Calibri"/>
                <w:color w:val="000000" w:themeColor="text1"/>
              </w:rPr>
              <w:t>ID de participación*</w:t>
            </w:r>
          </w:p>
        </w:tc>
      </w:tr>
      <w:tr w:rsidR="533BD78E" w:rsidTr="233A612B" w14:paraId="2EE9DD1D" w14:textId="77777777">
        <w:tc>
          <w:tcPr>
            <w:tcW w:w="2160" w:type="dxa"/>
          </w:tcPr>
          <w:p w:rsidR="533BD78E" w:rsidRDefault="533BD78E" w14:paraId="1A44566D" w14:textId="38CCD6F2">
            <w:r>
              <w:rPr>
                <w:rFonts w:ascii="Calibri" w:hAnsi="Calibri" w:eastAsia="Calibri" w:cs="Calibri"/>
                <w:color w:val="000000" w:themeColor="text1"/>
              </w:rPr>
              <w:t>Pregunta 1 de la encuesta</w:t>
            </w:r>
          </w:p>
        </w:tc>
        <w:tc>
          <w:tcPr>
            <w:tcW w:w="7200" w:type="dxa"/>
          </w:tcPr>
          <w:p w:rsidR="533BD78E" w:rsidRDefault="533BD78E" w14:paraId="7B394FA4" w14:textId="3D6D2C9D">
            <w:r>
              <w:rPr>
                <w:rFonts w:ascii="Calibri" w:hAnsi="Calibri" w:eastAsia="Calibri" w:cs="Calibri"/>
                <w:color w:val="000000" w:themeColor="text1"/>
              </w:rPr>
              <w:t>Nombre completo*</w:t>
            </w:r>
          </w:p>
        </w:tc>
      </w:tr>
      <w:tr w:rsidR="533BD78E" w:rsidTr="233A612B" w14:paraId="5F3D9D1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60" w:type="dxa"/>
          </w:tcPr>
          <w:p w:rsidR="533BD78E" w:rsidRDefault="533BD78E" w14:paraId="59ABF80C" w14:textId="413951C4">
            <w:r>
              <w:rPr>
                <w:rFonts w:ascii="Calibri" w:hAnsi="Calibri" w:eastAsia="Calibri" w:cs="Calibri"/>
                <w:color w:val="000000" w:themeColor="text1"/>
              </w:rPr>
              <w:t>Pregunta 2 de la encuesta</w:t>
            </w:r>
          </w:p>
        </w:tc>
        <w:tc>
          <w:tcPr>
            <w:tcW w:w="7200" w:type="dxa"/>
          </w:tcPr>
          <w:p w:rsidR="533BD78E" w:rsidRDefault="533BD78E" w14:paraId="4D7F55FC" w14:textId="3F83AF8C">
            <w:r>
              <w:rPr>
                <w:rFonts w:ascii="Calibri" w:hAnsi="Calibri" w:eastAsia="Calibri" w:cs="Calibri"/>
                <w:color w:val="000000" w:themeColor="text1"/>
              </w:rPr>
              <w:t>Cargo*</w:t>
            </w:r>
          </w:p>
        </w:tc>
      </w:tr>
      <w:tr w:rsidR="533BD78E" w:rsidTr="233A612B" w14:paraId="41771061" w14:textId="77777777">
        <w:tc>
          <w:tcPr>
            <w:tcW w:w="2160" w:type="dxa"/>
          </w:tcPr>
          <w:p w:rsidR="533BD78E" w:rsidRDefault="533BD78E" w14:paraId="30A22F86" w14:textId="412272A7">
            <w:r>
              <w:rPr>
                <w:rFonts w:ascii="Calibri" w:hAnsi="Calibri" w:eastAsia="Calibri" w:cs="Calibri"/>
                <w:color w:val="000000" w:themeColor="text1"/>
              </w:rPr>
              <w:t>Pregunta 3 de la encuesta</w:t>
            </w:r>
          </w:p>
        </w:tc>
        <w:tc>
          <w:tcPr>
            <w:tcW w:w="7200" w:type="dxa"/>
          </w:tcPr>
          <w:p w:rsidR="533BD78E" w:rsidRDefault="533BD78E" w14:paraId="19EC63E9" w14:textId="018B52DC">
            <w:r>
              <w:rPr>
                <w:rFonts w:ascii="Calibri" w:hAnsi="Calibri" w:eastAsia="Calibri" w:cs="Calibri"/>
                <w:color w:val="000000" w:themeColor="text1"/>
              </w:rPr>
              <w:t>Nombre de la organización*</w:t>
            </w:r>
          </w:p>
        </w:tc>
      </w:tr>
      <w:tr w:rsidRPr="007455A7" w:rsidR="533BD78E" w:rsidTr="233A612B" w14:paraId="67CE6E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60" w:type="dxa"/>
          </w:tcPr>
          <w:p w:rsidR="533BD78E" w:rsidRDefault="533BD78E" w14:paraId="7206AB4B" w14:textId="32425A3B">
            <w:r>
              <w:rPr>
                <w:rFonts w:ascii="Calibri" w:hAnsi="Calibri" w:eastAsia="Calibri" w:cs="Calibri"/>
                <w:color w:val="000000" w:themeColor="text1"/>
              </w:rPr>
              <w:t>Pregunta 4 de la encuesta</w:t>
            </w:r>
          </w:p>
        </w:tc>
        <w:tc>
          <w:tcPr>
            <w:tcW w:w="7200" w:type="dxa"/>
          </w:tcPr>
          <w:p w:rsidRPr="007455A7" w:rsidR="533BD78E" w:rsidRDefault="533BD78E" w14:paraId="3CDC593A" w14:textId="241AA382">
            <w:pPr>
              <w:rPr>
                <w:lang w:val="fr-FR"/>
              </w:rPr>
            </w:pPr>
            <w:r w:rsidRPr="007455A7">
              <w:rPr>
                <w:rFonts w:ascii="Calibri" w:hAnsi="Calibri" w:eastAsia="Calibri" w:cs="Calibri"/>
                <w:color w:val="000000" w:themeColor="text1"/>
                <w:lang w:val="fr-FR"/>
              </w:rPr>
              <w:t>Nombre de la organización de partners que brindó la sesión informativa*</w:t>
            </w:r>
          </w:p>
        </w:tc>
      </w:tr>
      <w:tr w:rsidRPr="007455A7" w:rsidR="533BD78E" w:rsidTr="233A612B" w14:paraId="4298EADB" w14:textId="77777777">
        <w:tc>
          <w:tcPr>
            <w:tcW w:w="2160" w:type="dxa"/>
          </w:tcPr>
          <w:p w:rsidR="533BD78E" w:rsidRDefault="533BD78E" w14:paraId="7173E56D" w14:textId="2F811991">
            <w:r>
              <w:rPr>
                <w:rFonts w:ascii="Calibri" w:hAnsi="Calibri" w:eastAsia="Calibri" w:cs="Calibri"/>
                <w:color w:val="000000" w:themeColor="text1"/>
              </w:rPr>
              <w:t>Pregunta 5 de la encuesta</w:t>
            </w:r>
          </w:p>
        </w:tc>
        <w:tc>
          <w:tcPr>
            <w:tcW w:w="7200" w:type="dxa"/>
          </w:tcPr>
          <w:p w:rsidRPr="007455A7" w:rsidR="533BD78E" w:rsidRDefault="533BD78E" w14:paraId="408BE531" w14:textId="1C1CF308">
            <w:pPr>
              <w:rPr>
                <w:lang w:val="fr-FR"/>
              </w:rPr>
            </w:pPr>
            <w:r w:rsidRPr="007455A7">
              <w:rPr>
                <w:rFonts w:ascii="Calibri" w:hAnsi="Calibri" w:eastAsia="Calibri" w:cs="Calibri"/>
                <w:color w:val="000000" w:themeColor="text1"/>
                <w:lang w:val="fr-FR"/>
              </w:rPr>
              <w:t>Fecha en que se completó la sesión informativa Prepárese para Copilot*</w:t>
            </w:r>
          </w:p>
        </w:tc>
      </w:tr>
      <w:tr w:rsidRPr="007455A7" w:rsidR="533BD78E" w:rsidTr="233A612B" w14:paraId="531C63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60" w:type="dxa"/>
          </w:tcPr>
          <w:p w:rsidR="533BD78E" w:rsidP="185E352E" w:rsidRDefault="533BD78E" w14:paraId="71036D9D" w14:textId="48E7C7C2">
            <w:pPr>
              <w:rPr>
                <w:rFonts w:ascii="Calibri" w:hAnsi="Calibri" w:eastAsia="Calibri" w:cs="Calibri"/>
                <w:color w:val="000000" w:themeColor="text1"/>
              </w:rPr>
            </w:pPr>
            <w:r>
              <w:rPr>
                <w:rFonts w:ascii="Calibri" w:hAnsi="Calibri" w:eastAsia="Calibri" w:cs="Calibri"/>
                <w:color w:val="000000" w:themeColor="text1"/>
              </w:rPr>
              <w:t>Pregunta 6 de la encuesta</w:t>
            </w:r>
          </w:p>
        </w:tc>
        <w:tc>
          <w:tcPr>
            <w:tcW w:w="7200" w:type="dxa"/>
          </w:tcPr>
          <w:p w:rsidRPr="007455A7" w:rsidR="533BD78E" w:rsidP="42A3BBC8" w:rsidRDefault="533BD78E" w14:paraId="2E3EECC4" w14:textId="0B0AD7CE">
            <w:pPr>
              <w:rPr>
                <w:rFonts w:ascii="Calibri" w:hAnsi="Calibri" w:eastAsia="Calibri" w:cs="Calibri"/>
                <w:color w:val="000000" w:themeColor="text1"/>
                <w:lang w:val="fr-FR"/>
              </w:rPr>
            </w:pPr>
            <w:r w:rsidRPr="007455A7">
              <w:rPr>
                <w:rFonts w:ascii="Calibri" w:hAnsi="Calibri" w:eastAsia="Calibri" w:cs="Calibri"/>
                <w:color w:val="000000" w:themeColor="text1"/>
                <w:lang w:val="fr-FR"/>
              </w:rPr>
              <w:t>¿Cómo calificaría su nivel de satisfacción con la sesión informativa Prepárese para Copilot que completó?*</w:t>
            </w:r>
          </w:p>
        </w:tc>
      </w:tr>
      <w:tr w:rsidRPr="007455A7" w:rsidR="533BD78E" w:rsidTr="233A612B" w14:paraId="234B3966" w14:textId="77777777">
        <w:tc>
          <w:tcPr>
            <w:tcW w:w="2160" w:type="dxa"/>
          </w:tcPr>
          <w:p w:rsidR="533BD78E" w:rsidRDefault="533BD78E" w14:paraId="21BBCD54" w14:textId="088AB6DE">
            <w:r>
              <w:rPr>
                <w:rFonts w:ascii="Calibri" w:hAnsi="Calibri" w:eastAsia="Calibri" w:cs="Calibri"/>
                <w:color w:val="000000" w:themeColor="text1"/>
              </w:rPr>
              <w:t>Pregunta 7 de la encuesta</w:t>
            </w:r>
          </w:p>
        </w:tc>
        <w:tc>
          <w:tcPr>
            <w:tcW w:w="7200" w:type="dxa"/>
          </w:tcPr>
          <w:p w:rsidRPr="007455A7" w:rsidR="533BD78E" w:rsidRDefault="533BD78E" w14:paraId="6EC70B44" w14:textId="7FADCE10">
            <w:pPr>
              <w:rPr>
                <w:lang w:val="fr-FR"/>
              </w:rPr>
            </w:pPr>
            <w:r w:rsidRPr="007455A7">
              <w:rPr>
                <w:rFonts w:ascii="Calibri" w:hAnsi="Calibri" w:eastAsia="Calibri" w:cs="Calibri"/>
                <w:color w:val="000000" w:themeColor="text1"/>
                <w:lang w:val="fr-FR"/>
              </w:rPr>
              <w:t>¿Cuál es su nivel de satisfacción con la entrega del partner?*</w:t>
            </w:r>
          </w:p>
        </w:tc>
      </w:tr>
      <w:tr w:rsidRPr="007455A7" w:rsidR="533BD78E" w:rsidTr="233A612B" w14:paraId="476FC8A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60" w:type="dxa"/>
          </w:tcPr>
          <w:p w:rsidR="533BD78E" w:rsidRDefault="533BD78E" w14:paraId="77909174" w14:textId="56144676">
            <w:r>
              <w:rPr>
                <w:rFonts w:ascii="Calibri" w:hAnsi="Calibri" w:eastAsia="Calibri" w:cs="Calibri"/>
                <w:color w:val="000000" w:themeColor="text1"/>
              </w:rPr>
              <w:t>Pregunta 8 de la encuesta</w:t>
            </w:r>
          </w:p>
        </w:tc>
        <w:tc>
          <w:tcPr>
            <w:tcW w:w="7200" w:type="dxa"/>
          </w:tcPr>
          <w:p w:rsidRPr="007455A7" w:rsidR="533BD78E" w:rsidP="233A612B" w:rsidRDefault="533BD78E" w14:paraId="27BBD98E" w14:textId="4C67B078">
            <w:pPr>
              <w:rPr>
                <w:rFonts w:ascii="Calibri" w:hAnsi="Calibri" w:eastAsia="Calibri" w:cs="Calibri"/>
                <w:color w:val="000000" w:themeColor="text1"/>
                <w:lang w:val="fr-FR"/>
              </w:rPr>
            </w:pPr>
            <w:r w:rsidRPr="007455A7">
              <w:rPr>
                <w:rFonts w:ascii="Calibri" w:hAnsi="Calibri" w:eastAsia="Calibri" w:cs="Calibri"/>
                <w:color w:val="000000" w:themeColor="text1"/>
                <w:lang w:val="fr-FR"/>
              </w:rPr>
              <w:t>¿Qué posibilidades hay de que active una versión de prueba o comience a</w:t>
            </w:r>
            <w:r w:rsidRPr="007455A7" w:rsidR="007455A7">
              <w:rPr>
                <w:rFonts w:ascii="Calibri" w:hAnsi="Calibri" w:eastAsia="Calibri" w:cs="Calibri"/>
                <w:color w:val="000000" w:themeColor="text1"/>
                <w:lang w:val="fr-FR"/>
              </w:rPr>
              <w:t> </w:t>
            </w:r>
            <w:r w:rsidRPr="007455A7">
              <w:rPr>
                <w:rFonts w:ascii="Calibri" w:hAnsi="Calibri" w:eastAsia="Calibri" w:cs="Calibri"/>
                <w:color w:val="000000" w:themeColor="text1"/>
                <w:lang w:val="fr-FR"/>
              </w:rPr>
              <w:t>probar Microsoft Copilot?</w:t>
            </w:r>
          </w:p>
        </w:tc>
      </w:tr>
      <w:tr w:rsidR="533BD78E" w:rsidTr="233A612B" w14:paraId="7B5B90F4" w14:textId="77777777">
        <w:tc>
          <w:tcPr>
            <w:tcW w:w="2160" w:type="dxa"/>
          </w:tcPr>
          <w:p w:rsidR="533BD78E" w:rsidRDefault="533BD78E" w14:paraId="4EE54D74" w14:textId="4F8D8C14">
            <w:r>
              <w:rPr>
                <w:rFonts w:ascii="Calibri" w:hAnsi="Calibri" w:eastAsia="Calibri" w:cs="Calibri"/>
                <w:color w:val="000000" w:themeColor="text1"/>
              </w:rPr>
              <w:t>Pregunta 9 de la encuesta</w:t>
            </w:r>
          </w:p>
        </w:tc>
        <w:tc>
          <w:tcPr>
            <w:tcW w:w="7200" w:type="dxa"/>
          </w:tcPr>
          <w:p w:rsidR="533BD78E" w:rsidRDefault="533BD78E" w14:paraId="5638330F" w14:textId="04E3120D">
            <w:r>
              <w:rPr>
                <w:rFonts w:ascii="Calibri" w:hAnsi="Calibri" w:eastAsia="Calibri" w:cs="Calibri"/>
                <w:color w:val="000000" w:themeColor="text1"/>
              </w:rPr>
              <w:t>¿Le gustaría hacer algún otro comentario?</w:t>
            </w:r>
          </w:p>
        </w:tc>
      </w:tr>
    </w:tbl>
    <w:p w:rsidR="533BD78E" w:rsidP="533BD78E" w:rsidRDefault="533BD78E" w14:paraId="0538E09A" w14:textId="58BB3B19" w14:noSpellErr="1">
      <w:pPr>
        <w:rPr>
          <w:rFonts w:ascii="Calibri" w:hAnsi="Calibri" w:eastAsia="Calibri" w:cs="Calibri"/>
          <w:b w:val="1"/>
          <w:bCs w:val="1"/>
          <w:color w:val="000000" w:themeColor="text1"/>
        </w:rPr>
      </w:pPr>
    </w:p>
    <w:p w:rsidR="7A2B0C57" w:rsidP="7A2B0C57" w:rsidRDefault="7A2B0C57" w14:paraId="5F56D9A4" w14:textId="4FC720B4">
      <w:pPr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</w:pPr>
    </w:p>
    <w:p w:rsidR="2E17A944" w:rsidP="7A2B0C57" w:rsidRDefault="2E17A944" w14:paraId="21712AC3" w14:textId="536AC4C6">
      <w:pPr>
        <w:rPr>
          <w:rFonts w:ascii="Calibri" w:hAnsi="Calibri" w:eastAsia="Calibri" w:cs="Calibri"/>
          <w:b w:val="1"/>
          <w:bCs w:val="1"/>
          <w:color w:val="000000" w:themeColor="text1" w:themeTint="FF" w:themeShade="FF"/>
          <w:highlight w:val="yellow"/>
          <w:lang w:val="es-ES"/>
        </w:rPr>
      </w:pP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highlight w:val="yellow"/>
          <w:lang w:val="es-ES"/>
        </w:rPr>
        <w:t xml:space="preserve">Se pueden usar fondos </w:t>
      </w: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highlight w:val="yellow"/>
          <w:lang w:val="es-ES"/>
        </w:rPr>
        <w:t>Coop</w:t>
      </w: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highlight w:val="yellow"/>
          <w:lang w:val="es-ES"/>
        </w:rPr>
        <w:t xml:space="preserve"> para los CSP Briefings. Entran dentro de la categoría Seminarios a clientes.</w:t>
      </w:r>
    </w:p>
    <w:p w:rsidR="2E17A944" w:rsidP="7A2B0C57" w:rsidRDefault="2E17A944" w14:paraId="58387BCE" w14:textId="16DA3303">
      <w:pPr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</w:pP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  <w:t xml:space="preserve">Asegura que sigues las directrices de la guía “FY25 </w:t>
      </w: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  <w:t>Partner</w:t>
      </w: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  <w:t xml:space="preserve"> Incentives </w:t>
      </w: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  <w:t>Co-op</w:t>
      </w: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  <w:t xml:space="preserve"> </w:t>
      </w: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  <w:t>Guidebook</w:t>
      </w:r>
      <w:r w:rsidRPr="7A2B0C57" w:rsidR="2E17A944"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  <w:t>”</w:t>
      </w:r>
    </w:p>
    <w:p w:rsidR="7A2B0C57" w:rsidP="7A2B0C57" w:rsidRDefault="7A2B0C57" w14:paraId="2A37A9C2" w14:textId="19B6E50C">
      <w:pPr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</w:pPr>
    </w:p>
    <w:p w:rsidR="2E17A944" w:rsidRDefault="2E17A944" w14:paraId="38D77F41" w14:textId="431D10E1"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Los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seminarios para clientes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son eventos de formación y reclutamiento dirigidos tanto a clientes como a revendedores, enfocados en Microsoft y utilizando contenido desarrollado por el socio. También califican como eventos digitales formatos como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podcasts, videos bajo demanda, transmisiones en vivo, laboratorios prácticos en línea y otros seminarios virtuales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>.</w:t>
      </w:r>
    </w:p>
    <w:p w:rsidR="2E17A944" w:rsidP="7A2B0C57" w:rsidRDefault="2E17A944" w14:paraId="39466376" w14:textId="01563CCD">
      <w:pPr>
        <w:pStyle w:val="Heading3"/>
        <w:spacing w:before="281" w:beforeAutospacing="off" w:after="281" w:afterAutospacing="off"/>
      </w:pPr>
      <w:r w:rsidRPr="7A2B0C57" w:rsidR="2E17A944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s-ES"/>
        </w:rPr>
        <w:t>Directrices de actividad</w:t>
      </w:r>
    </w:p>
    <w:p w:rsidR="2E17A944" w:rsidP="7A2B0C57" w:rsidRDefault="2E17A944" w14:paraId="665E1002" w14:textId="0F90189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Los seminarios para clientes y los bootcamps de Microsoft deben cumplir con los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requisitos principales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>. No se permite el reembolso proporcional para eventos que no cumplan con estos requisitos.</w:t>
      </w:r>
    </w:p>
    <w:p w:rsidR="2E17A944" w:rsidP="7A2B0C57" w:rsidRDefault="2E17A944" w14:paraId="22FCD689" w14:textId="05E4EB2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Los eventos deben ser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liderados y marcados por el socio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>, sin aparentar estar "patrocinados por" Microsoft.</w:t>
      </w:r>
    </w:p>
    <w:p w:rsidR="2E17A944" w:rsidP="7A2B0C57" w:rsidRDefault="2E17A944" w14:paraId="754083B3" w14:textId="36D66AE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Se pueden incluir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consultores de transformación del modelo de negocio de Microsoft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como ponentes externos en los talleres.</w:t>
      </w:r>
    </w:p>
    <w:p w:rsidR="2E17A944" w:rsidP="7A2B0C57" w:rsidRDefault="2E17A944" w14:paraId="2A58E983" w14:textId="1926CAF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Los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artículos promocionales y la reclamación de gastos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de los seminarios y bootcamps deben cumplir con las directrices de Microsoft.</w:t>
      </w:r>
    </w:p>
    <w:p w:rsidR="2E17A944" w:rsidP="7A2B0C57" w:rsidRDefault="2E17A944" w14:paraId="7BDD3C75" w14:textId="4056CB1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Para eventos digitales, en lugar de fotos del evento, se debe enviar una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imagen de la pantalla de bienvenida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del seminario web como prueba de ejecución.</w:t>
      </w:r>
    </w:p>
    <w:p w:rsidR="2E17A944" w:rsidP="7A2B0C57" w:rsidRDefault="2E17A944" w14:paraId="7928BBF3" w14:textId="6FE9A060">
      <w:pPr>
        <w:spacing w:before="240" w:beforeAutospacing="off" w:after="240" w:afterAutospacing="off"/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📌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Requisitos principales: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Consulte las pautas específicas en la diapositiva de "Requisitos principales de la actividad".</w:t>
      </w:r>
    </w:p>
    <w:p w:rsidR="7A2B0C57" w:rsidRDefault="7A2B0C57" w14:paraId="47C23486" w14:textId="77FA0FBF"/>
    <w:p w:rsidR="2E17A944" w:rsidP="7A2B0C57" w:rsidRDefault="2E17A944" w14:paraId="77223E39" w14:textId="09DCC5DA">
      <w:pPr>
        <w:pStyle w:val="Heading3"/>
        <w:spacing w:before="281" w:beforeAutospacing="off" w:after="281" w:afterAutospacing="off"/>
      </w:pPr>
      <w:r w:rsidRPr="7A2B0C57" w:rsidR="2E17A944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s-ES"/>
        </w:rPr>
        <w:t>Requisitos de prueba de ejecución</w:t>
      </w:r>
    </w:p>
    <w:p w:rsidR="2E17A944" w:rsidP="7A2B0C57" w:rsidRDefault="2E17A944" w14:paraId="0CCA51E0" w14:textId="41C071C0">
      <w:pPr>
        <w:spacing w:before="240" w:beforeAutospacing="off" w:after="240" w:afterAutospacing="off"/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>Para la validación del evento, se debe proporcionar:</w:t>
      </w:r>
      <w:r>
        <w:br/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✅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Factura de terceros o declaración de certificación y reporte (CSR)</w:t>
      </w:r>
      <w:r>
        <w:br/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✅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Material de comunicación: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invitación del evento y agenda/programa, o una descripción del evento con su enfoque y audiencia.</w:t>
      </w:r>
    </w:p>
    <w:p w:rsidR="7A2B0C57" w:rsidRDefault="7A2B0C57" w14:paraId="03F57422" w14:textId="7FA80B7B"/>
    <w:p w:rsidR="2E17A944" w:rsidP="7A2B0C57" w:rsidRDefault="2E17A944" w14:paraId="617ACD6C" w14:textId="2CA6A29E">
      <w:pPr>
        <w:pStyle w:val="Heading3"/>
        <w:spacing w:before="281" w:beforeAutospacing="off" w:after="281" w:afterAutospacing="off"/>
      </w:pPr>
      <w:r w:rsidRPr="7A2B0C57" w:rsidR="2E17A944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s-ES"/>
        </w:rPr>
        <w:t>Gastos elegibles*</w:t>
      </w:r>
    </w:p>
    <w:p w:rsidR="2E17A944" w:rsidP="7A2B0C57" w:rsidRDefault="2E17A944" w14:paraId="3E5AF449" w14:textId="6F4078B3">
      <w:pPr>
        <w:spacing w:before="240" w:beforeAutospacing="off" w:after="240" w:afterAutospacing="off"/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✔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Material impreso y señalización</w:t>
      </w:r>
      <w:r>
        <w:br/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✔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Artículos promocionales (giveaways)</w:t>
      </w:r>
      <w:r>
        <w:br/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✔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Honorarios de agencia: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servicios de marketing, incluyendo tarifas de agencia</w:t>
      </w:r>
      <w:r>
        <w:br/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✔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Costos de registro</w:t>
      </w:r>
      <w:r>
        <w:br/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✔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Honorarios de ponentes externos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</w:t>
      </w:r>
      <w:r w:rsidRPr="7A2B0C57" w:rsidR="2E17A944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s-ES"/>
        </w:rPr>
        <w:t>(nota: los gastos de viaje y hotel solo son elegibles para los ponentes)</w:t>
      </w:r>
      <w:r>
        <w:br/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✔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Alquiler de instalaciones y equipos, incluyendo dispositivos Surface administrados por un tercero</w:t>
      </w:r>
      <w:r>
        <w:br/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✔ </w:t>
      </w:r>
      <w:r w:rsidRPr="7A2B0C57" w:rsidR="2E17A94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Servicio de catering</w:t>
      </w: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</w:t>
      </w:r>
      <w:r w:rsidRPr="7A2B0C57" w:rsidR="2E17A944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s-ES"/>
        </w:rPr>
        <w:t>(excluye alcohol)</w:t>
      </w:r>
    </w:p>
    <w:p w:rsidR="2E17A944" w:rsidP="7A2B0C57" w:rsidRDefault="2E17A944" w14:paraId="0F81559E" w14:textId="28D1BF20">
      <w:pPr>
        <w:spacing w:before="240" w:beforeAutospacing="off" w:after="240" w:afterAutospacing="off"/>
      </w:pPr>
      <w:r w:rsidRPr="7A2B0C57" w:rsidR="2E17A944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⚠️ </w:t>
      </w:r>
      <w:r w:rsidRPr="7A2B0C57" w:rsidR="2E17A944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s-ES"/>
        </w:rPr>
        <w:t>Los montos permitidos en EE.UU. pueden diferir de la política global. Los socios en EE.UU. deben revisar sus acuerdos individuales para más detalles.</w:t>
      </w:r>
    </w:p>
    <w:p w:rsidR="7A2B0C57" w:rsidP="7A2B0C57" w:rsidRDefault="7A2B0C57" w14:paraId="3324743E" w14:textId="5C377AF0">
      <w:pPr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s-ES"/>
        </w:rPr>
      </w:pPr>
    </w:p>
    <w:sectPr w:rsidR="533BD78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1217" w:rsidP="000F6645" w:rsidRDefault="00251217" w14:paraId="1026EA90" w14:textId="77777777">
      <w:pPr>
        <w:spacing w:after="0" w:line="240" w:lineRule="auto"/>
      </w:pPr>
      <w:r>
        <w:separator/>
      </w:r>
    </w:p>
  </w:endnote>
  <w:endnote w:type="continuationSeparator" w:id="0">
    <w:p w:rsidR="00251217" w:rsidP="000F6645" w:rsidRDefault="00251217" w14:paraId="0F587A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1217" w:rsidP="000F6645" w:rsidRDefault="00251217" w14:paraId="39252A00" w14:textId="77777777">
      <w:pPr>
        <w:spacing w:after="0" w:line="240" w:lineRule="auto"/>
      </w:pPr>
      <w:r>
        <w:separator/>
      </w:r>
    </w:p>
  </w:footnote>
  <w:footnote w:type="continuationSeparator" w:id="0">
    <w:p w:rsidR="00251217" w:rsidP="000F6645" w:rsidRDefault="00251217" w14:paraId="78583A2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3d9d7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A62339"/>
    <w:rsid w:val="0006ADD0"/>
    <w:rsid w:val="000F6645"/>
    <w:rsid w:val="00251217"/>
    <w:rsid w:val="0032055D"/>
    <w:rsid w:val="005C4546"/>
    <w:rsid w:val="007455A7"/>
    <w:rsid w:val="007F723C"/>
    <w:rsid w:val="00A007E6"/>
    <w:rsid w:val="00E34E41"/>
    <w:rsid w:val="02781C6B"/>
    <w:rsid w:val="07FBE22E"/>
    <w:rsid w:val="080E10AE"/>
    <w:rsid w:val="0A4C12FC"/>
    <w:rsid w:val="1531D547"/>
    <w:rsid w:val="1610623D"/>
    <w:rsid w:val="17D61443"/>
    <w:rsid w:val="185E352E"/>
    <w:rsid w:val="1C37E962"/>
    <w:rsid w:val="2119D09C"/>
    <w:rsid w:val="233A612B"/>
    <w:rsid w:val="2A46EF91"/>
    <w:rsid w:val="2DE01274"/>
    <w:rsid w:val="2E0FFCA3"/>
    <w:rsid w:val="2E17A944"/>
    <w:rsid w:val="2E7E3E51"/>
    <w:rsid w:val="33B111A3"/>
    <w:rsid w:val="34C5F95C"/>
    <w:rsid w:val="3DA62339"/>
    <w:rsid w:val="406A77E0"/>
    <w:rsid w:val="422D8F20"/>
    <w:rsid w:val="42A3BBC8"/>
    <w:rsid w:val="46765EAF"/>
    <w:rsid w:val="476E0022"/>
    <w:rsid w:val="48F335F1"/>
    <w:rsid w:val="4E2AB552"/>
    <w:rsid w:val="515B87B7"/>
    <w:rsid w:val="533BD78E"/>
    <w:rsid w:val="5F3970A9"/>
    <w:rsid w:val="66A39FAB"/>
    <w:rsid w:val="694EDB64"/>
    <w:rsid w:val="69663A93"/>
    <w:rsid w:val="69904DE3"/>
    <w:rsid w:val="6B82E184"/>
    <w:rsid w:val="6BDC1938"/>
    <w:rsid w:val="6F63BFA8"/>
    <w:rsid w:val="6FEF61ED"/>
    <w:rsid w:val="724B5ABC"/>
    <w:rsid w:val="74903C0B"/>
    <w:rsid w:val="75CF0A2F"/>
    <w:rsid w:val="7699FD74"/>
    <w:rsid w:val="78035019"/>
    <w:rsid w:val="7A2B0C57"/>
    <w:rsid w:val="7D79D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2339"/>
  <w15:chartTrackingRefBased/>
  <w15:docId w15:val="{2CC84EC2-5979-430D-96D5-2AF1C03F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PlainTable1">
    <w:name w:val="Plain Table 1"/>
    <w:basedOn w:val="TableNormal"/>
    <w:uiPriority w:val="41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ing3">
    <w:uiPriority w:val="9"/>
    <w:name w:val="heading 3"/>
    <w:basedOn w:val="Normal"/>
    <w:next w:val="Normal"/>
    <w:unhideWhenUsed/>
    <w:qFormat/>
    <w:rsid w:val="7A2B0C57"/>
    <w:rPr>
      <w:rFonts w:eastAsia="Calibri Light" w:cs="ＭＳ ゴシック" w:eastAsiaTheme="minorAscii" w:cstheme="majorEastAsia"/>
      <w:color w:val="2F5496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paragraph" w:styleId="ListParagraph">
    <w:uiPriority w:val="34"/>
    <w:name w:val="List Paragraph"/>
    <w:basedOn w:val="Normal"/>
    <w:qFormat/>
    <w:rsid w:val="7A2B0C57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numbering" Target="numbering.xml" Id="Rd4f2dff57e3349a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230e9df3-be65-4c73-a93b-d1236ebd677e" xsi:nil="true"/>
    <lcf76f155ced4ddcb4097134ff3c332f xmlns="ed416893-f718-4119-b2ee-4941e532b85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02B3C8BF4DFD4BA6B4A331092AD4BF" ma:contentTypeVersion="19" ma:contentTypeDescription="Create a new document." ma:contentTypeScope="" ma:versionID="63a48fa76525dda8b35a5fc6d7398af9">
  <xsd:schema xmlns:xsd="http://www.w3.org/2001/XMLSchema" xmlns:xs="http://www.w3.org/2001/XMLSchema" xmlns:p="http://schemas.microsoft.com/office/2006/metadata/properties" xmlns:ns1="http://schemas.microsoft.com/sharepoint/v3" xmlns:ns2="ed416893-f718-4119-b2ee-4941e532b85c" xmlns:ns3="230e9df3-be65-4c73-a93b-d1236ebd677e" xmlns:ns4="fdeeb84a-f369-4c62-b295-fae88e0a0da0" targetNamespace="http://schemas.microsoft.com/office/2006/metadata/properties" ma:root="true" ma:fieldsID="a877733493f5ece661eda5277dc76b8a" ns1:_="" ns2:_="" ns3:_="" ns4:_="">
    <xsd:import namespace="http://schemas.microsoft.com/sharepoint/v3"/>
    <xsd:import namespace="ed416893-f718-4119-b2ee-4941e532b85c"/>
    <xsd:import namespace="230e9df3-be65-4c73-a93b-d1236ebd677e"/>
    <xsd:import namespace="fdeeb84a-f369-4c62-b295-fae88e0a0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16893-f718-4119-b2ee-4941e532b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25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34fe2b-9d5b-46c7-876b-84c2b25ce5dc}" ma:internalName="TaxCatchAll" ma:showField="CatchAllData" ma:web="fdeeb84a-f369-4c62-b295-fae88e0a0d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eb84a-f369-4c62-b295-fae88e0a0d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53BC4A-887B-415C-8172-8F9089DA8C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30e9df3-be65-4c73-a93b-d1236ebd677e"/>
    <ds:schemaRef ds:uri="ed416893-f718-4119-b2ee-4941e532b85c"/>
  </ds:schemaRefs>
</ds:datastoreItem>
</file>

<file path=customXml/itemProps2.xml><?xml version="1.0" encoding="utf-8"?>
<ds:datastoreItem xmlns:ds="http://schemas.openxmlformats.org/officeDocument/2006/customXml" ds:itemID="{C1E0D1D1-7A4F-4109-9671-C79202323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416893-f718-4119-b2ee-4941e532b85c"/>
    <ds:schemaRef ds:uri="230e9df3-be65-4c73-a93b-d1236ebd677e"/>
    <ds:schemaRef ds:uri="fdeeb84a-f369-4c62-b295-fae88e0a0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78BA71-1610-4AD0-88CF-1EAD9B2BD5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Ben Smith (RedCloud Consulting Inc)</dc:creator>
  <keywords/>
  <dc:description/>
  <lastModifiedBy>Gabriela Camacho</lastModifiedBy>
  <revision>10</revision>
  <lastPrinted>2024-03-04T18:47:00.0000000Z</lastPrinted>
  <dcterms:created xsi:type="dcterms:W3CDTF">2021-08-25T17:31:00.0000000Z</dcterms:created>
  <dcterms:modified xsi:type="dcterms:W3CDTF">2025-03-05T05:12:40.4643103Z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0x010100F202B3C8BF4DFD4BA6B4A331092AD4BF</vt:lpwstr>
  </property>
  <property fmtid="{D5CDD505-2E9C-101B-9397-08002B2CF9AE}" pid="3" name="MediaServiceImageTags">
    <vt:lpwstr/>
  </property>
</Properties>
</file>